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6E22" w14:textId="70D9599B" w:rsidR="000F4BE4" w:rsidRPr="000F4BE4" w:rsidRDefault="000F4BE4" w:rsidP="000F4BE4">
      <w:pPr>
        <w:shd w:val="clear" w:color="auto" w:fill="FFFFFF"/>
        <w:bidi w:val="0"/>
        <w:spacing w:line="240" w:lineRule="auto"/>
        <w:textAlignment w:val="baseline"/>
        <w:outlineLvl w:val="0"/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</w:pPr>
      <w:r w:rsidRPr="000F4BE4"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  <w:t>Interpretação do Alcorão -Báqara II</w:t>
      </w:r>
      <w:r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  <w:t>I</w:t>
      </w:r>
      <w:r w:rsidR="006E3E73"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  <w:br/>
      </w:r>
    </w:p>
    <w:p w14:paraId="1CA3D710" w14:textId="6459F5E7" w:rsidR="008B130C" w:rsidRPr="000F4BE4" w:rsidRDefault="006E3E73" w:rsidP="000F4BE4">
      <w:pPr>
        <w:bidi w:val="0"/>
        <w:rPr>
          <w:rFonts w:hint="cs"/>
          <w:lang w:val="pt-BR"/>
        </w:rPr>
      </w:pPr>
      <w:r w:rsidRPr="000F4BE4">
        <w:rPr>
          <w:rStyle w:val="fontstyle01"/>
          <w:lang w:val="pt-BR"/>
        </w:rPr>
        <w:t>O Alcorão foi denominado de várias maneiras</w:t>
      </w:r>
      <w:r>
        <w:rPr>
          <w:rStyle w:val="fontstyle01"/>
          <w:lang w:val="pt-BR"/>
        </w:rPr>
        <w:t xml:space="preserve"> como </w:t>
      </w:r>
      <w:r w:rsidRPr="000F4BE4">
        <w:rPr>
          <w:rStyle w:val="fontstyle21"/>
          <w:lang w:val="pt-BR"/>
        </w:rPr>
        <w:t>Livro</w:t>
      </w:r>
      <w:r>
        <w:rPr>
          <w:rStyle w:val="fontstyle01"/>
          <w:lang w:val="pt-BR"/>
        </w:rPr>
        <w:t>,</w:t>
      </w:r>
      <w:r w:rsidRPr="006E3E73">
        <w:rPr>
          <w:rStyle w:val="fontstyle01"/>
          <w:lang w:val="pt-BR"/>
        </w:rPr>
        <w:t xml:space="preserve"> </w:t>
      </w:r>
      <w:r w:rsidRPr="000F4BE4">
        <w:rPr>
          <w:rStyle w:val="fontstyle21"/>
          <w:lang w:val="pt-BR"/>
        </w:rPr>
        <w:t>Discernimento</w:t>
      </w:r>
      <w:r>
        <w:rPr>
          <w:rStyle w:val="fontstyle01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Mensagem</w:t>
      </w:r>
      <w:r>
        <w:rPr>
          <w:rFonts w:ascii="Times-Bold" w:hAnsi="Times-Bold"/>
          <w:b/>
          <w:bCs/>
          <w:color w:val="000000"/>
          <w:lang w:val="pt-BR"/>
        </w:rPr>
        <w:t xml:space="preserve"> de </w:t>
      </w:r>
      <w:r w:rsidRPr="000F4BE4">
        <w:rPr>
          <w:rFonts w:ascii="Times-Bold" w:hAnsi="Times-Bold"/>
          <w:b/>
          <w:bCs/>
          <w:color w:val="000000"/>
          <w:lang w:val="pt-BR"/>
        </w:rPr>
        <w:t>Deus</w:t>
      </w:r>
      <w:r>
        <w:rPr>
          <w:rFonts w:ascii="Times-Bold" w:hAnsi="Times-Bold"/>
          <w:b/>
          <w:bCs/>
          <w:color w:val="000000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Revelação</w:t>
      </w:r>
      <w:r>
        <w:rPr>
          <w:rStyle w:val="fontstyle01"/>
          <w:lang w:val="pt-BR"/>
        </w:rPr>
        <w:t xml:space="preserve">, </w:t>
      </w:r>
      <w:r w:rsidRPr="000F4BE4">
        <w:rPr>
          <w:rFonts w:ascii="Times-Bold" w:hAnsi="Times-Bold"/>
          <w:b/>
          <w:bCs/>
          <w:color w:val="000000"/>
          <w:lang w:val="pt-BR"/>
        </w:rPr>
        <w:t>Narrativa</w:t>
      </w:r>
      <w:r>
        <w:rPr>
          <w:rStyle w:val="fontstyle01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Exortação</w:t>
      </w:r>
      <w:r>
        <w:rPr>
          <w:rStyle w:val="fontstyle01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Corrente</w:t>
      </w:r>
      <w:r>
        <w:rPr>
          <w:rStyle w:val="fontstyle01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Bálsamo</w:t>
      </w:r>
      <w:r>
        <w:rPr>
          <w:rStyle w:val="fontstyle01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Discernimentos</w:t>
      </w:r>
      <w:r>
        <w:rPr>
          <w:rFonts w:ascii="Times-Bold" w:hAnsi="Times-Bold"/>
          <w:b/>
          <w:bCs/>
          <w:color w:val="000000"/>
          <w:lang w:val="pt-BR"/>
        </w:rPr>
        <w:t>,</w:t>
      </w:r>
      <w:r w:rsidRPr="006E3E73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Luz</w:t>
      </w:r>
      <w:r>
        <w:rPr>
          <w:rFonts w:ascii="Times-Bold" w:hAnsi="Times-Bold"/>
          <w:b/>
          <w:bCs/>
          <w:color w:val="000000"/>
          <w:lang w:val="pt-BR"/>
        </w:rPr>
        <w:t xml:space="preserve"> de </w:t>
      </w:r>
      <w:r w:rsidRPr="000F4BE4">
        <w:rPr>
          <w:rFonts w:ascii="Times-Bold" w:hAnsi="Times-Bold"/>
          <w:b/>
          <w:bCs/>
          <w:color w:val="000000"/>
          <w:lang w:val="pt-BR"/>
        </w:rPr>
        <w:t>Deus</w:t>
      </w:r>
      <w:r>
        <w:rPr>
          <w:rStyle w:val="fontstyle01"/>
          <w:lang w:val="pt-BR"/>
        </w:rPr>
        <w:t>.</w:t>
      </w:r>
      <w:r w:rsidRPr="006E3E73">
        <w:rPr>
          <w:lang w:val="pt-BR"/>
        </w:rPr>
        <w:t xml:space="preserve"> </w:t>
      </w:r>
      <w:r w:rsidRPr="006E3E73">
        <w:rPr>
          <w:rStyle w:val="fontstyle01"/>
          <w:lang w:val="pt-BR"/>
        </w:rPr>
        <w:t>A citação mais usual é a que nos indica que todo o Alcorão é orientação, pois Deus sabe mais.</w:t>
      </w:r>
      <w:r w:rsidR="000F4BE4">
        <w:rPr>
          <w:rStyle w:val="fontstyle01"/>
          <w:lang w:val="pt-BR"/>
        </w:rPr>
        <w:br/>
      </w:r>
      <w:r w:rsidR="000F4BE4">
        <w:rPr>
          <w:rStyle w:val="fontstyle01"/>
          <w:lang w:val="pt-BR"/>
        </w:rPr>
        <w:br/>
      </w:r>
      <w:r w:rsidR="000F4BE4" w:rsidRPr="000F4BE4">
        <w:rPr>
          <w:rStyle w:val="fontstyle01"/>
          <w:lang w:val="pt-BR"/>
        </w:rPr>
        <w:t xml:space="preserve"> O Alcorão foi denominado de várias maneiras, entre as quais citamos: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br/>
      </w:r>
      <w:r w:rsidR="000F4BE4" w:rsidRPr="000F4BE4">
        <w:rPr>
          <w:rStyle w:val="fontstyle01"/>
          <w:lang w:val="pt-BR"/>
        </w:rPr>
        <w:t xml:space="preserve">a) </w:t>
      </w:r>
      <w:r w:rsidR="000F4BE4" w:rsidRPr="000F4BE4">
        <w:rPr>
          <w:rStyle w:val="fontstyle21"/>
          <w:lang w:val="pt-BR"/>
        </w:rPr>
        <w:t>“Livro”. Deus, o Altíssimo diz: “(Eis) um Livro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Style w:val="fontstyle21"/>
          <w:lang w:val="pt-BR"/>
        </w:rPr>
        <w:t>Bendito, que te revelamos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"/>
      </w:r>
      <w:r w:rsidR="000F4BE4" w:rsidRPr="000F4BE4">
        <w:rPr>
          <w:rStyle w:val="fontstyle21"/>
          <w:lang w:val="pt-BR"/>
        </w:rPr>
        <w:t xml:space="preserve">”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Style w:val="fontstyle01"/>
          <w:lang w:val="pt-BR"/>
        </w:rPr>
        <w:t xml:space="preserve">b) </w:t>
      </w:r>
      <w:r w:rsidR="000F4BE4" w:rsidRPr="000F4BE4">
        <w:rPr>
          <w:rStyle w:val="fontstyle21"/>
          <w:lang w:val="pt-BR"/>
        </w:rPr>
        <w:t>“Alcorão”. Deus, o Altíssimo diz: “Em verdade,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Style w:val="fontstyle21"/>
          <w:lang w:val="pt-BR"/>
        </w:rPr>
        <w:t xml:space="preserve">este Alcorão encaminha à senda mais reta” </w:t>
      </w:r>
      <w:r w:rsidR="000F4BE4">
        <w:rPr>
          <w:rStyle w:val="fontstyle21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2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Style w:val="fontstyle01"/>
          <w:lang w:val="pt-BR"/>
        </w:rPr>
        <w:t xml:space="preserve">c) </w:t>
      </w:r>
      <w:r w:rsidR="000F4BE4" w:rsidRPr="000F4BE4">
        <w:rPr>
          <w:rStyle w:val="fontstyle21"/>
          <w:lang w:val="pt-BR"/>
        </w:rPr>
        <w:t>“Discernimento”. Deus, o Altíssimo diz: “Bendi</w:t>
      </w:r>
      <w:r w:rsidR="000F4BE4">
        <w:rPr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to seja Aquele que revelou o Discernimento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ao Seu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servo”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3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d)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“Mensagem”. Deus, o Altíssimo diz: “Nós revelamos a Mensagem e somos o seu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Preservador”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4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e)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“Revelação”. Deus, o Altíssimo diz: “Certamente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(este Alcorão), é uma revelação do Senhor do universo. Com ele desceu o Espírito Fiel”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5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f)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“Narrativa”. Deus, o Altíssimo diz: “Deus revelou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a mais bela narrativa” (39:23)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g)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“Exortação”. Deus, o Altíssimo diz: “Ó humanos, já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 xml:space="preserve">vos chegou uma Exortação do vosso Senhor” 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6"/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h)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“Corrente”. Deus, o Altíssimo diz: “E apegai-vos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todos à Corrente de Deus e não vos dividais”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7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i)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“Bálsamo”. Deus, o Altíssimo diz: “E revelamos,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no Alcorão, aquilo que é Bálsamo e misericórdia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para os crentes”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8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j)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“Discernimentos”. Deus, o Altíssimo diz: “Este (Alcorão) encerra Discernimentos do vosso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Senhor”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9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l)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“Distinguidor”. Deus, o Altíssimo diz: “que esta é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a palavra que distingue (o bem do mal), e não entretenimento”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0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m)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“Prova”. Deus, o Altíssimo diz: “Ó humanos, já vos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chegou uma Prova convincente, do vosso Senhor”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1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 xml:space="preserve">n)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“Luz”. Deus, o Altíssimo diz: “…seguiram a Luz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que com ele foi enviada”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2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Em outros trechos, encontramos a expressão “(…)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 xml:space="preserve">que é indubitavelmente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(...)”, ou seja, é impossível ter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dúvida em relação a ele, porque o Alcorão testemunha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a respeito de suas verdades. Esta expressão revela sua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incontestável veracidade, grandiosidade, harmonia, solidez, a profundeza dos seus signifcados, a sonoridade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das suas palavras e termos. Sua eloqüência é de tal nível que afasta qualquer dúvida.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br/>
        <w:t>As verdades do Alcorão tornam-se mais claras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com a evolução das ciências e o descobrimento dos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segredos dos mundos. Quanto mais completo se torna o conhecimento humano, mais claros tornam-se os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versículos do Alcorão.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lastRenderedPageBreak/>
        <w:t>A citação mais usual é a que nos indica que todo o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Alcorão é orientação, pois Deus sabe mais.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br/>
        <w:t>Em outros momentos, encontramos a expressão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 xml:space="preserve">“orientação para os tementes”.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A palavra árabe para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“orientação” tem vários signifcados no Alcorão, que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podem ser resumidos em dois: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br/>
        <w:t>1. A orientação da criação. É o comando do Senhor do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Universo para toda a criação, manifesto na organização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das criaturas, das leis naturais que regem a existência.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br/>
        <w:t>É claro que essa orientação abrange tudo que existe no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Universo. O Alcorão diz, nas palavras de Moisés (a.s.):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“Nosso Senhor foi quem deu a cada coisa, sua natureza; logo a seguir,</w:t>
      </w:r>
      <w:r w:rsid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encaminhou-a com retidão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3"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!”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br/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2. A orientação legislativa: É instituída por meio dos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Italic" w:hAnsi="Times-Italic"/>
          <w:i/>
          <w:iCs/>
          <w:color w:val="000000"/>
          <w:lang w:val="pt-BR"/>
        </w:rPr>
        <w:t>profetas e dos livros celestiais. Deus, o Altíssimo, diz:</w:t>
      </w:r>
      <w:r w:rsidR="000F4BE4"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="000F4BE4" w:rsidRPr="000F4BE4">
        <w:rPr>
          <w:rFonts w:ascii="Times-Bold" w:hAnsi="Times-Bold"/>
          <w:b/>
          <w:bCs/>
          <w:color w:val="000000"/>
          <w:lang w:val="pt-BR"/>
        </w:rPr>
        <w:t>E os designamos líderes, para que guiassem os demais segundo os Nossos desígnios</w:t>
      </w:r>
      <w:r w:rsidR="000F4BE4">
        <w:rPr>
          <w:rFonts w:ascii="Times-Bold" w:hAnsi="Times-Bold"/>
          <w:b/>
          <w:bCs/>
          <w:color w:val="000000"/>
          <w:lang w:val="pt-BR"/>
        </w:rPr>
        <w:t>.</w:t>
      </w:r>
      <w:r w:rsidR="000F4BE4"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4"/>
      </w:r>
    </w:p>
    <w:sectPr w:rsidR="008B130C" w:rsidRPr="000F4BE4" w:rsidSect="00E042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902E" w14:textId="77777777" w:rsidR="00EF63A3" w:rsidRDefault="00EF63A3" w:rsidP="000F4BE4">
      <w:pPr>
        <w:spacing w:after="0" w:line="240" w:lineRule="auto"/>
      </w:pPr>
      <w:r>
        <w:separator/>
      </w:r>
    </w:p>
  </w:endnote>
  <w:endnote w:type="continuationSeparator" w:id="0">
    <w:p w14:paraId="36531675" w14:textId="77777777" w:rsidR="00EF63A3" w:rsidRDefault="00EF63A3" w:rsidP="000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har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D3A" w14:textId="77777777" w:rsidR="00EF63A3" w:rsidRDefault="00EF63A3" w:rsidP="000F4BE4">
      <w:pPr>
        <w:spacing w:after="0" w:line="240" w:lineRule="auto"/>
      </w:pPr>
      <w:r>
        <w:separator/>
      </w:r>
    </w:p>
  </w:footnote>
  <w:footnote w:type="continuationSeparator" w:id="0">
    <w:p w14:paraId="2D34A095" w14:textId="77777777" w:rsidR="00EF63A3" w:rsidRDefault="00EF63A3" w:rsidP="000F4BE4">
      <w:pPr>
        <w:spacing w:after="0" w:line="240" w:lineRule="auto"/>
      </w:pPr>
      <w:r>
        <w:continuationSeparator/>
      </w:r>
    </w:p>
  </w:footnote>
  <w:footnote w:id="1">
    <w:p w14:paraId="579BB566" w14:textId="39DD3ED5" w:rsidR="000F4BE4" w:rsidRPr="000F4BE4" w:rsidRDefault="000F4BE4" w:rsidP="000F4BE4">
      <w:pPr>
        <w:pStyle w:val="FootnoteText"/>
        <w:bidi w:val="0"/>
        <w:rPr>
          <w:rFonts w:hint="cs"/>
          <w:rtl/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>
        <w:rPr>
          <w:rStyle w:val="fontstyle01"/>
          <w:lang w:val="pt-BR"/>
        </w:rPr>
        <w:t>.</w:t>
      </w:r>
      <w:r w:rsidRPr="000F4BE4">
        <w:rPr>
          <w:rStyle w:val="fontstyle01"/>
          <w:lang w:val="pt-BR"/>
        </w:rPr>
        <w:t xml:space="preserve"> </w:t>
      </w:r>
      <w:r w:rsidRPr="000F4BE4">
        <w:rPr>
          <w:rStyle w:val="fontstyle21"/>
          <w:lang w:val="pt-BR"/>
        </w:rPr>
        <w:t>38:29</w:t>
      </w:r>
    </w:p>
  </w:footnote>
  <w:footnote w:id="2">
    <w:p w14:paraId="479FAD88" w14:textId="73990626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>
        <w:rPr>
          <w:rStyle w:val="fontstyle01"/>
          <w:lang w:val="pt-BR"/>
        </w:rPr>
        <w:t>.</w:t>
      </w:r>
      <w:r w:rsidRPr="000F4BE4">
        <w:rPr>
          <w:rStyle w:val="fontstyle01"/>
          <w:lang w:val="pt-BR"/>
        </w:rPr>
        <w:t xml:space="preserve"> </w:t>
      </w:r>
      <w:r w:rsidRPr="000F4BE4">
        <w:rPr>
          <w:rStyle w:val="fontstyle21"/>
          <w:lang w:val="pt-BR"/>
        </w:rPr>
        <w:t>17:9</w:t>
      </w:r>
    </w:p>
  </w:footnote>
  <w:footnote w:id="3">
    <w:p w14:paraId="5B42A078" w14:textId="0EE55BE9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25:1</w:t>
      </w:r>
    </w:p>
  </w:footnote>
  <w:footnote w:id="4">
    <w:p w14:paraId="236EEE1A" w14:textId="52B5CEDE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15:9</w:t>
      </w:r>
    </w:p>
  </w:footnote>
  <w:footnote w:id="5">
    <w:p w14:paraId="19CE4AB1" w14:textId="1F2E9F7B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26:192-193</w:t>
      </w:r>
    </w:p>
  </w:footnote>
  <w:footnote w:id="6">
    <w:p w14:paraId="3FAC39B8" w14:textId="360EA1F0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10:57</w:t>
      </w:r>
    </w:p>
  </w:footnote>
  <w:footnote w:id="7">
    <w:p w14:paraId="24B71472" w14:textId="28B4F0C8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3:103</w:t>
      </w:r>
    </w:p>
  </w:footnote>
  <w:footnote w:id="8">
    <w:p w14:paraId="6C991880" w14:textId="6437EAFE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17:82</w:t>
      </w:r>
    </w:p>
  </w:footnote>
  <w:footnote w:id="9">
    <w:p w14:paraId="18C12DF6" w14:textId="101AE7D8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>
        <w:rPr>
          <w:rStyle w:val="fontstyle01"/>
          <w:b/>
          <w:bCs/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7:203</w:t>
      </w:r>
    </w:p>
  </w:footnote>
  <w:footnote w:id="10">
    <w:p w14:paraId="025654D4" w14:textId="001DBE51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>
        <w:rPr>
          <w:rFonts w:ascii="Times-Bold" w:hAnsi="Times-Bold"/>
          <w:b/>
          <w:bCs/>
          <w:color w:val="000000"/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86:13-14</w:t>
      </w:r>
    </w:p>
  </w:footnote>
  <w:footnote w:id="11">
    <w:p w14:paraId="0C4FF038" w14:textId="5E871AD8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>
        <w:rPr>
          <w:rStyle w:val="fontstyle01"/>
          <w:b/>
          <w:bCs/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4:174</w:t>
      </w:r>
    </w:p>
  </w:footnote>
  <w:footnote w:id="12">
    <w:p w14:paraId="4050AEE1" w14:textId="3898F1F5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Alcorão</w:t>
      </w:r>
      <w:r w:rsidRPr="000F4BE4">
        <w:rPr>
          <w:rStyle w:val="fontstyle01"/>
          <w:b/>
          <w:bCs/>
          <w:lang w:val="pt-BR"/>
        </w:rPr>
        <w:t xml:space="preserve"> sagrado</w:t>
      </w:r>
      <w:r>
        <w:rPr>
          <w:rStyle w:val="fontstyle01"/>
          <w:b/>
          <w:bCs/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7:157</w:t>
      </w:r>
    </w:p>
  </w:footnote>
  <w:footnote w:id="13">
    <w:p w14:paraId="75BD640E" w14:textId="51A31FA5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20:50</w:t>
      </w:r>
    </w:p>
  </w:footnote>
  <w:footnote w:id="14">
    <w:p w14:paraId="7E35F30F" w14:textId="364C5DFE" w:rsidR="000F4BE4" w:rsidRPr="000F4BE4" w:rsidRDefault="000F4BE4" w:rsidP="000F4BE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0F4BE4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0F4BE4">
        <w:rPr>
          <w:rFonts w:ascii="Times-Bold" w:hAnsi="Times-Bold"/>
          <w:b/>
          <w:bCs/>
          <w:color w:val="000000"/>
          <w:lang w:val="pt-BR"/>
        </w:rPr>
        <w:t>21:73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9E3"/>
    <w:multiLevelType w:val="multilevel"/>
    <w:tmpl w:val="9B4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9620D"/>
    <w:multiLevelType w:val="multilevel"/>
    <w:tmpl w:val="C39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E4"/>
    <w:rsid w:val="000F4BE4"/>
    <w:rsid w:val="006E3E73"/>
    <w:rsid w:val="008B130C"/>
    <w:rsid w:val="00E04292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453E18"/>
  <w15:chartTrackingRefBased/>
  <w15:docId w15:val="{38BEFA97-FF06-4A02-A0EC-816AF3F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F4B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4BE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4BE4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F4BE4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B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B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B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F4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4B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ast">
    <w:name w:val="last"/>
    <w:basedOn w:val="Normal"/>
    <w:rsid w:val="000F4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BE4"/>
    <w:rPr>
      <w:color w:val="0000FF"/>
      <w:u w:val="single"/>
    </w:rPr>
  </w:style>
  <w:style w:type="paragraph" w:customStyle="1" w:styleId="first">
    <w:name w:val="first"/>
    <w:basedOn w:val="Normal"/>
    <w:rsid w:val="000F4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0F4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DefaultParagraphFont"/>
    <w:rsid w:val="000F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35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30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2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3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599">
              <w:marLeft w:val="0"/>
              <w:marRight w:val="0"/>
              <w:marTop w:val="5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8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7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NAZEAT</dc:creator>
  <cp:keywords/>
  <dc:description/>
  <cp:lastModifiedBy>NAZEAT</cp:lastModifiedBy>
  <cp:revision>1</cp:revision>
  <dcterms:created xsi:type="dcterms:W3CDTF">2021-11-15T05:17:00Z</dcterms:created>
  <dcterms:modified xsi:type="dcterms:W3CDTF">2021-11-15T05:33:00Z</dcterms:modified>
</cp:coreProperties>
</file>