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F104" w14:textId="2B2454B1" w:rsidR="00621F8C" w:rsidRPr="00BC7BAD" w:rsidRDefault="00BD4B14" w:rsidP="00BC7BAD">
      <w:pPr>
        <w:bidi w:val="0"/>
        <w:rPr>
          <w:rFonts w:cs="Arial"/>
          <w:lang w:val="pt-BR"/>
        </w:rPr>
      </w:pPr>
      <w:hyperlink r:id="rId6" w:history="1">
        <w:r w:rsidRPr="00BD4B14">
          <w:rPr>
            <w:rStyle w:val="Strong"/>
            <w:color w:val="0000FF"/>
            <w:u w:val="single"/>
            <w:lang w:val="pt-BR"/>
          </w:rPr>
          <w:t>Interpretação do Alcorão</w:t>
        </w:r>
      </w:hyperlink>
      <w:r w:rsidR="000C62BE">
        <w:rPr>
          <w:lang w:val="pt-BR"/>
        </w:rPr>
        <w:t>,</w:t>
      </w:r>
      <w:r w:rsidRPr="00BD4B14">
        <w:rPr>
          <w:lang w:val="pt-BR"/>
        </w:rPr>
        <w:t xml:space="preserve"> </w:t>
      </w:r>
      <w:r w:rsidR="000C62BE" w:rsidRPr="000C62BE">
        <w:rPr>
          <w:lang w:val="pt-BR"/>
        </w:rPr>
        <w:t xml:space="preserve">Báqara </w:t>
      </w:r>
      <w:r>
        <w:rPr>
          <w:lang w:val="pt-BR"/>
        </w:rPr>
        <w:t>p 7</w:t>
      </w:r>
      <w:r w:rsidR="009054EC">
        <w:rPr>
          <w:lang w:val="pt-BR"/>
        </w:rPr>
        <w:br/>
      </w:r>
      <w:r w:rsidR="009054EC">
        <w:rPr>
          <w:lang w:val="pt-BR"/>
        </w:rPr>
        <w:br/>
      </w:r>
      <w:r w:rsidR="00621F8C" w:rsidRPr="00621F8C">
        <w:rPr>
          <w:lang w:val="pt-BR"/>
        </w:rPr>
        <w:t>Quando aborda estas duas categorias de</w:t>
      </w:r>
      <w:r w:rsidR="00621F8C">
        <w:rPr>
          <w:lang w:val="pt-BR"/>
        </w:rPr>
        <w:t xml:space="preserve"> </w:t>
      </w:r>
      <w:r w:rsidR="00621F8C" w:rsidRPr="00621F8C">
        <w:rPr>
          <w:lang w:val="pt-BR"/>
        </w:rPr>
        <w:t>pessoas, o Alcorão sagrado caracteriza as diferentes faces da incredulidade em todo lugar e</w:t>
      </w:r>
      <w:r w:rsidR="00621F8C">
        <w:rPr>
          <w:lang w:val="pt-BR"/>
        </w:rPr>
        <w:t xml:space="preserve"> </w:t>
      </w:r>
      <w:r w:rsidR="00621F8C" w:rsidRPr="00621F8C">
        <w:rPr>
          <w:lang w:val="pt-BR"/>
        </w:rPr>
        <w:t>todo tempo. Deus, exaltado seja, diz: “Quanto</w:t>
      </w:r>
      <w:r w:rsidR="00621F8C">
        <w:rPr>
          <w:lang w:val="pt-BR"/>
        </w:rPr>
        <w:t xml:space="preserve"> </w:t>
      </w:r>
      <w:r w:rsidR="00621F8C" w:rsidRPr="00621F8C">
        <w:rPr>
          <w:lang w:val="pt-BR"/>
        </w:rPr>
        <w:t xml:space="preserve">aos incrédulos¹, tanto se lhes dá que os admoestes ou não os admoestes; não crerão. </w:t>
      </w:r>
    </w:p>
    <w:p w14:paraId="3FCA3C6F" w14:textId="15AB8450" w:rsidR="00621F8C" w:rsidRPr="00621F8C" w:rsidRDefault="00621F8C" w:rsidP="00621F8C">
      <w:pPr>
        <w:bidi w:val="0"/>
        <w:rPr>
          <w:lang w:val="pt-BR"/>
        </w:rPr>
      </w:pPr>
      <w:r w:rsidRPr="00621F8C">
        <w:rPr>
          <w:lang w:val="pt-BR"/>
        </w:rPr>
        <w:t>Deus</w:t>
      </w:r>
      <w:r>
        <w:rPr>
          <w:lang w:val="pt-BR"/>
        </w:rPr>
        <w:t xml:space="preserve"> </w:t>
      </w:r>
      <w:r w:rsidRPr="00621F8C">
        <w:rPr>
          <w:lang w:val="pt-BR"/>
        </w:rPr>
        <w:t>selou os seus corações e os seus ouvidos; seus</w:t>
      </w:r>
      <w:r>
        <w:rPr>
          <w:lang w:val="pt-BR"/>
        </w:rPr>
        <w:t xml:space="preserve"> </w:t>
      </w:r>
      <w:r w:rsidRPr="00621F8C">
        <w:rPr>
          <w:lang w:val="pt-BR"/>
        </w:rPr>
        <w:t>olhos estão velados e sofrerão um severo castigo”</w:t>
      </w:r>
      <w:r>
        <w:rPr>
          <w:lang w:val="pt-BR"/>
        </w:rPr>
        <w:t>.</w:t>
      </w:r>
      <w:r>
        <w:rPr>
          <w:rStyle w:val="FootnoteReference"/>
          <w:lang w:val="pt-BR"/>
        </w:rPr>
        <w:footnoteReference w:id="1"/>
      </w:r>
      <w:r>
        <w:rPr>
          <w:rFonts w:cs="Arial"/>
          <w:rtl/>
          <w:lang w:val="pt-BR"/>
        </w:rPr>
        <w:br/>
      </w:r>
      <w:r>
        <w:rPr>
          <w:rFonts w:cs="Arial"/>
          <w:rtl/>
          <w:lang w:val="pt-BR"/>
        </w:rPr>
        <w:br/>
      </w:r>
      <w:r w:rsidRPr="00621F8C">
        <w:rPr>
          <w:lang w:val="pt-BR"/>
        </w:rPr>
        <w:t>A presença do pronome relativo “quanto</w:t>
      </w:r>
      <w:r w:rsidRPr="00621F8C">
        <w:rPr>
          <w:rFonts w:cs="Arial"/>
          <w:rtl/>
          <w:lang w:val="pt-BR"/>
        </w:rPr>
        <w:t>”</w:t>
      </w:r>
      <w:r>
        <w:rPr>
          <w:lang w:val="pt-BR"/>
        </w:rPr>
        <w:t xml:space="preserve"> </w:t>
      </w:r>
      <w:r w:rsidRPr="00621F8C">
        <w:rPr>
          <w:lang w:val="pt-BR"/>
        </w:rPr>
        <w:t>é para chamar a atenção em relação a uma pessoa ou grupo em particular. Confrmam essa</w:t>
      </w:r>
      <w:r>
        <w:rPr>
          <w:lang w:val="pt-BR"/>
        </w:rPr>
        <w:t xml:space="preserve"> </w:t>
      </w:r>
      <w:r w:rsidRPr="00621F8C">
        <w:rPr>
          <w:lang w:val="pt-BR"/>
        </w:rPr>
        <w:t>interpretação as palavras do Altíssimo: “tanto</w:t>
      </w:r>
      <w:r>
        <w:rPr>
          <w:lang w:val="pt-BR"/>
        </w:rPr>
        <w:t xml:space="preserve"> </w:t>
      </w:r>
      <w:r w:rsidRPr="00621F8C">
        <w:rPr>
          <w:lang w:val="pt-BR"/>
        </w:rPr>
        <w:t>se lhes dá que os admoestes ou não os admoestes; não crerão.” O termo, portanto, não</w:t>
      </w:r>
      <w:r>
        <w:rPr>
          <w:lang w:val="pt-BR"/>
        </w:rPr>
        <w:t xml:space="preserve"> </w:t>
      </w:r>
      <w:r w:rsidRPr="00621F8C">
        <w:rPr>
          <w:lang w:val="pt-BR"/>
        </w:rPr>
        <w:t>pode ser considerado indicativo de todos os incrédulos, pois, se assim fosse, estaria trancada</w:t>
      </w:r>
      <w:r>
        <w:rPr>
          <w:lang w:val="pt-BR"/>
        </w:rPr>
        <w:t xml:space="preserve"> </w:t>
      </w:r>
      <w:r w:rsidRPr="00621F8C">
        <w:rPr>
          <w:lang w:val="pt-BR"/>
        </w:rPr>
        <w:t>a porta da orientação</w:t>
      </w:r>
      <w:r w:rsidRPr="00621F8C">
        <w:rPr>
          <w:rFonts w:cs="Arial"/>
          <w:rtl/>
          <w:lang w:val="pt-BR"/>
        </w:rPr>
        <w:t>.</w:t>
      </w:r>
    </w:p>
    <w:p w14:paraId="47C1D97B" w14:textId="7F36136C" w:rsidR="00621F8C" w:rsidRPr="00621F8C" w:rsidRDefault="00621F8C" w:rsidP="00621F8C">
      <w:pPr>
        <w:bidi w:val="0"/>
        <w:rPr>
          <w:lang w:val="pt-BR"/>
        </w:rPr>
      </w:pPr>
      <w:r w:rsidRPr="00621F8C">
        <w:rPr>
          <w:lang w:val="pt-BR"/>
        </w:rPr>
        <w:t>A palavra árabe “kafarú” (que signifca</w:t>
      </w:r>
      <w:r>
        <w:rPr>
          <w:lang w:val="pt-BR"/>
        </w:rPr>
        <w:t xml:space="preserve"> </w:t>
      </w:r>
      <w:r w:rsidRPr="00621F8C">
        <w:rPr>
          <w:lang w:val="pt-BR"/>
        </w:rPr>
        <w:t>incrédulos” ou “encobridores”) indica que a</w:t>
      </w:r>
      <w:r>
        <w:rPr>
          <w:lang w:val="pt-BR"/>
        </w:rPr>
        <w:t xml:space="preserve"> </w:t>
      </w:r>
      <w:r w:rsidRPr="00621F8C">
        <w:rPr>
          <w:lang w:val="pt-BR"/>
        </w:rPr>
        <w:t>descrença é antônima do agradecimento, como</w:t>
      </w:r>
      <w:r>
        <w:rPr>
          <w:lang w:val="pt-BR"/>
        </w:rPr>
        <w:t xml:space="preserve"> </w:t>
      </w:r>
      <w:r w:rsidRPr="00621F8C">
        <w:rPr>
          <w:lang w:val="pt-BR"/>
        </w:rPr>
        <w:t>a graça é autônima de censura. A incredulidade</w:t>
      </w:r>
      <w:r>
        <w:rPr>
          <w:lang w:val="pt-BR"/>
        </w:rPr>
        <w:t xml:space="preserve"> </w:t>
      </w:r>
      <w:r w:rsidRPr="00621F8C">
        <w:rPr>
          <w:lang w:val="pt-BR"/>
        </w:rPr>
        <w:t>é o encobrimento e a ocultação da dádiva. O</w:t>
      </w:r>
      <w:r>
        <w:rPr>
          <w:lang w:val="pt-BR"/>
        </w:rPr>
        <w:t xml:space="preserve"> </w:t>
      </w:r>
      <w:r w:rsidRPr="00621F8C">
        <w:rPr>
          <w:lang w:val="pt-BR"/>
        </w:rPr>
        <w:t>agradecimento signifca revelá-la e mostrá-la</w:t>
      </w:r>
      <w:r w:rsidRPr="00621F8C">
        <w:rPr>
          <w:rFonts w:cs="Arial"/>
          <w:rtl/>
          <w:lang w:val="pt-BR"/>
        </w:rPr>
        <w:t>.</w:t>
      </w:r>
    </w:p>
    <w:p w14:paraId="48A7D435" w14:textId="428ADA52" w:rsidR="00621F8C" w:rsidRPr="00F51D24" w:rsidRDefault="00621F8C" w:rsidP="00F51D24">
      <w:pPr>
        <w:bidi w:val="0"/>
        <w:rPr>
          <w:lang w:val="pt-BR"/>
        </w:rPr>
      </w:pPr>
      <w:r w:rsidRPr="00621F8C">
        <w:rPr>
          <w:lang w:val="pt-BR"/>
        </w:rPr>
        <w:t>Quem encobre algo, esconde-o. Por isso, dizse, em árabe, que o semeador é káfr, ou seja</w:t>
      </w:r>
      <w:r w:rsidRPr="00621F8C">
        <w:rPr>
          <w:rFonts w:cs="Arial"/>
          <w:rtl/>
          <w:lang w:val="pt-BR"/>
        </w:rPr>
        <w:t>,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aquele que oculta a semente”: “... é como a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chuva, que compraz aos cultivadores, por vivifcar a plantação</w:t>
      </w:r>
      <w:r w:rsidR="00F51D24">
        <w:rPr>
          <w:lang w:val="pt-BR"/>
        </w:rPr>
        <w:t>.</w:t>
      </w:r>
      <w:r w:rsidR="00F51D24">
        <w:rPr>
          <w:rStyle w:val="FootnoteReference"/>
          <w:lang w:val="pt-BR"/>
        </w:rPr>
        <w:footnoteReference w:id="2"/>
      </w:r>
    </w:p>
    <w:p w14:paraId="45188430" w14:textId="151E2619" w:rsidR="002719B3" w:rsidRDefault="00621F8C" w:rsidP="002719B3">
      <w:pPr>
        <w:bidi w:val="0"/>
        <w:rPr>
          <w:lang w:val="pt-BR"/>
        </w:rPr>
      </w:pPr>
      <w:r w:rsidRPr="00621F8C">
        <w:rPr>
          <w:lang w:val="pt-BR"/>
        </w:rPr>
        <w:t>O cultivador, aqui, foi denominado “káfr” por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ocultar as sementes, da mesma forma que a noite é denominada de “káfr” por causa de suas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trevas, que ocultam a luz</w:t>
      </w:r>
      <w:r w:rsidRPr="00621F8C">
        <w:rPr>
          <w:rFonts w:cs="Arial"/>
          <w:rtl/>
          <w:lang w:val="pt-BR"/>
        </w:rPr>
        <w:t>.</w:t>
      </w:r>
      <w:r>
        <w:rPr>
          <w:rFonts w:cs="Arial"/>
          <w:rtl/>
          <w:lang w:val="pt-BR"/>
        </w:rPr>
        <w:br/>
      </w:r>
      <w:r w:rsidRPr="00621F8C">
        <w:rPr>
          <w:lang w:val="pt-BR"/>
        </w:rPr>
        <w:t>O imam Assádiq (</w:t>
      </w:r>
      <w:r w:rsidR="002719B3">
        <w:rPr>
          <w:lang w:val="pt-BR"/>
        </w:rPr>
        <w:t>que a paz esteja com ele</w:t>
      </w:r>
      <w:r w:rsidRPr="00621F8C">
        <w:rPr>
          <w:lang w:val="pt-BR"/>
        </w:rPr>
        <w:t>) disse: “A kufr (“incredulidade” ou “ocultação”), no Livro de Deus, tem cinco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faces; uma delas é a incredulidade, que por sua vez tem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três aspectos: negar a dádiva, negar o que Deus ordenou e negar a inocência. Quanto à incredulidade, é a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negação da divindade. É dizer que não há Deus, nem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Paraíso, nem inferno. Pode-se dizer que, aqui, há dois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tipos de ateus,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denominados “livres pensadores</w:t>
      </w:r>
      <w:r w:rsidRPr="00621F8C">
        <w:rPr>
          <w:rFonts w:cs="Arial"/>
          <w:rtl/>
          <w:lang w:val="pt-BR"/>
        </w:rPr>
        <w:t>”: “...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não nos aniquilará senão o tempo!</w:t>
      </w:r>
      <w:r w:rsidR="00F51D24">
        <w:rPr>
          <w:rStyle w:val="FootnoteReference"/>
          <w:lang w:val="pt-BR"/>
        </w:rPr>
        <w:footnoteReference w:id="3"/>
      </w:r>
      <w:r w:rsidRPr="00621F8C">
        <w:rPr>
          <w:lang w:val="pt-BR"/>
        </w:rPr>
        <w:t>. Eles são autores da religião que estipularam para si mesmos, por seu arbítrio, sem comprovar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 xml:space="preserve">nada do que afrmam. </w:t>
      </w:r>
    </w:p>
    <w:p w14:paraId="7ACEE53C" w14:textId="545B76BF" w:rsidR="00621F8C" w:rsidRPr="00621F8C" w:rsidRDefault="00621F8C" w:rsidP="002719B3">
      <w:pPr>
        <w:bidi w:val="0"/>
        <w:rPr>
          <w:lang w:val="pt-BR"/>
        </w:rPr>
      </w:pPr>
      <w:r w:rsidRPr="00621F8C">
        <w:rPr>
          <w:lang w:val="pt-BR"/>
        </w:rPr>
        <w:t>A seu respeito, Deus, exaltado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seja, diz: “... não fazem mais do que conjecturar</w:t>
      </w:r>
      <w:r w:rsidR="00F51D24">
        <w:rPr>
          <w:lang w:val="pt-BR"/>
        </w:rPr>
        <w:t xml:space="preserve"> </w:t>
      </w:r>
      <w:r w:rsidR="00F51D24">
        <w:rPr>
          <w:rStyle w:val="FootnoteReference"/>
          <w:lang w:val="pt-BR"/>
        </w:rPr>
        <w:footnoteReference w:id="4"/>
      </w:r>
      <w:r w:rsidRPr="00621F8C">
        <w:rPr>
          <w:lang w:val="pt-BR"/>
        </w:rPr>
        <w:t>. E afrma, ainda: “Quanto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aos incrédulos, tanto se lhes dá que os admoestes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ou não os admoestes; não crerão</w:t>
      </w:r>
      <w:r w:rsidR="002719B3">
        <w:rPr>
          <w:rStyle w:val="FootnoteReference"/>
          <w:lang w:val="pt-BR"/>
        </w:rPr>
        <w:footnoteReference w:id="5"/>
      </w:r>
      <w:r w:rsidRPr="00621F8C">
        <w:rPr>
          <w:lang w:val="pt-BR"/>
        </w:rPr>
        <w:t>.” . Ou seja, não crêem na Unicidade</w:t>
      </w:r>
      <w:r w:rsidRPr="00621F8C">
        <w:rPr>
          <w:rFonts w:cs="Arial"/>
          <w:rtl/>
          <w:lang w:val="pt-BR"/>
        </w:rPr>
        <w:t>.</w:t>
      </w:r>
    </w:p>
    <w:p w14:paraId="3A669A29" w14:textId="6BEB0D1E" w:rsidR="00621F8C" w:rsidRPr="00621F8C" w:rsidRDefault="00621F8C" w:rsidP="00F51D24">
      <w:pPr>
        <w:bidi w:val="0"/>
        <w:rPr>
          <w:lang w:val="pt-BR"/>
        </w:rPr>
      </w:pPr>
      <w:r w:rsidRPr="00621F8C">
        <w:rPr>
          <w:lang w:val="pt-BR"/>
        </w:rPr>
        <w:t>Quanto à outra face, é a negação da verdade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mesmo quando se tem conhecimento de que ela é</w:t>
      </w:r>
    </w:p>
    <w:p w14:paraId="0D34F3BC" w14:textId="77777777" w:rsidR="00621F8C" w:rsidRPr="00621F8C" w:rsidRDefault="00621F8C" w:rsidP="00621F8C">
      <w:pPr>
        <w:bidi w:val="0"/>
        <w:rPr>
          <w:lang w:val="pt-BR"/>
        </w:rPr>
      </w:pPr>
      <w:r w:rsidRPr="00621F8C">
        <w:rPr>
          <w:rFonts w:cs="Arial"/>
          <w:rtl/>
          <w:lang w:val="pt-BR"/>
        </w:rPr>
        <w:t>“</w:t>
      </w:r>
      <w:r w:rsidRPr="00621F8C">
        <w:rPr>
          <w:lang w:val="pt-BR"/>
        </w:rPr>
        <w:t>verdadeira”. Deus Exaltado seja, diz: “E os negaram, por iniqüidade e arrogância, não obstante</w:t>
      </w:r>
    </w:p>
    <w:p w14:paraId="23EB5750" w14:textId="4A6E929D" w:rsidR="00621F8C" w:rsidRPr="00621F8C" w:rsidRDefault="00621F8C" w:rsidP="00F51D24">
      <w:pPr>
        <w:bidi w:val="0"/>
        <w:rPr>
          <w:lang w:val="pt-BR"/>
        </w:rPr>
      </w:pPr>
      <w:r w:rsidRPr="00621F8C">
        <w:rPr>
          <w:lang w:val="pt-BR"/>
        </w:rPr>
        <w:t>estarem deles convencidos</w:t>
      </w:r>
      <w:r w:rsidR="00F51D24">
        <w:rPr>
          <w:rStyle w:val="FootnoteReference"/>
          <w:lang w:val="pt-BR"/>
        </w:rPr>
        <w:footnoteReference w:id="6"/>
      </w:r>
      <w:r w:rsidRPr="00621F8C">
        <w:rPr>
          <w:lang w:val="pt-BR"/>
        </w:rPr>
        <w:t xml:space="preserve">” 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E afrma: “... apesar de antes terem implorado a vitória sobre os incrédulos – quando lhes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chegou o que sabiam, negaram-no. Que a maldição de Deus caia sobre os incrédulos!</w:t>
      </w:r>
      <w:r w:rsidR="00F51D24">
        <w:rPr>
          <w:rStyle w:val="FootnoteReference"/>
          <w:lang w:val="pt-BR"/>
        </w:rPr>
        <w:footnoteReference w:id="7"/>
      </w:r>
      <w:r w:rsidRPr="00621F8C">
        <w:rPr>
          <w:lang w:val="pt-BR"/>
        </w:rPr>
        <w:t xml:space="preserve">” </w:t>
      </w:r>
    </w:p>
    <w:p w14:paraId="2B54B293" w14:textId="46CD693D" w:rsidR="00621F8C" w:rsidRPr="00621F8C" w:rsidRDefault="00621F8C" w:rsidP="002719B3">
      <w:pPr>
        <w:bidi w:val="0"/>
        <w:rPr>
          <w:lang w:val="pt-BR"/>
        </w:rPr>
      </w:pPr>
      <w:r w:rsidRPr="00621F8C">
        <w:rPr>
          <w:lang w:val="pt-BR"/>
        </w:rPr>
        <w:t>A terceira face corresponde à negação das dádivas, um procedimento indicado pelas palavras de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Deus quando Ele dirigiu-se a salomão: “Isto provém da graça de meu Senhor, para verifcar se sou</w:t>
      </w:r>
    </w:p>
    <w:p w14:paraId="7B85440F" w14:textId="1E85F55C" w:rsidR="00621F8C" w:rsidRPr="00621F8C" w:rsidRDefault="00621F8C" w:rsidP="002719B3">
      <w:pPr>
        <w:bidi w:val="0"/>
        <w:rPr>
          <w:lang w:val="pt-BR"/>
        </w:rPr>
      </w:pPr>
      <w:r w:rsidRPr="00621F8C">
        <w:rPr>
          <w:lang w:val="pt-BR"/>
        </w:rPr>
        <w:lastRenderedPageBreak/>
        <w:t>grato ou ingrato. Pois quem agradece, certamente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o faz em benefício próprio; e saiba o mal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agradecido que meu Senhor não necessita de agradecimentos, e é Generoso</w:t>
      </w:r>
      <w:r w:rsidR="002719B3">
        <w:rPr>
          <w:rStyle w:val="FootnoteReference"/>
          <w:lang w:val="pt-BR"/>
        </w:rPr>
        <w:footnoteReference w:id="8"/>
      </w:r>
      <w:r w:rsidRPr="00621F8C">
        <w:rPr>
          <w:rFonts w:cs="Arial"/>
          <w:rtl/>
          <w:lang w:val="pt-BR"/>
        </w:rPr>
        <w:t>.</w:t>
      </w:r>
    </w:p>
    <w:p w14:paraId="6CD6A4F8" w14:textId="79A0CA9D" w:rsidR="00621F8C" w:rsidRPr="00621F8C" w:rsidRDefault="00621F8C" w:rsidP="002719B3">
      <w:pPr>
        <w:bidi w:val="0"/>
        <w:rPr>
          <w:lang w:val="pt-BR"/>
        </w:rPr>
      </w:pPr>
      <w:r w:rsidRPr="00621F8C">
        <w:rPr>
          <w:lang w:val="pt-BR"/>
        </w:rPr>
        <w:t>E diz: “Se Me agradecerdes, multiplicar-vos-ei os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favores; se não Me agradecerdes, sem dúvida que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o Meu castigo será severíssimo</w:t>
      </w:r>
      <w:r w:rsidR="002719B3">
        <w:rPr>
          <w:rStyle w:val="FootnoteReference"/>
          <w:lang w:val="pt-BR"/>
        </w:rPr>
        <w:footnoteReference w:id="9"/>
      </w:r>
      <w:r w:rsidRPr="00621F8C">
        <w:rPr>
          <w:lang w:val="pt-BR"/>
        </w:rPr>
        <w:t>” E diz, ainda: “Recordai-vos de Mim, que Eu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Me recordarei de vós. Agradecei-Me e não sejais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ingratos!”</w:t>
      </w:r>
      <w:r w:rsidR="00F51D24">
        <w:rPr>
          <w:lang w:val="pt-BR"/>
        </w:rPr>
        <w:t>.</w:t>
      </w:r>
      <w:r w:rsidR="00F51D24">
        <w:rPr>
          <w:rStyle w:val="FootnoteReference"/>
          <w:lang w:val="pt-BR"/>
        </w:rPr>
        <w:footnoteReference w:id="10"/>
      </w:r>
    </w:p>
    <w:p w14:paraId="46509B96" w14:textId="7BCA4942" w:rsidR="00621F8C" w:rsidRPr="00621F8C" w:rsidRDefault="00621F8C" w:rsidP="00F51D24">
      <w:pPr>
        <w:bidi w:val="0"/>
        <w:rPr>
          <w:lang w:val="pt-BR"/>
        </w:rPr>
      </w:pPr>
      <w:r w:rsidRPr="00621F8C">
        <w:rPr>
          <w:lang w:val="pt-BR"/>
        </w:rPr>
        <w:t>A quarta face do encobrimento é desobedecer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às ordens de Deus, exaltado seja. são suas palavras</w:t>
      </w:r>
      <w:r w:rsidRPr="00621F8C">
        <w:rPr>
          <w:rFonts w:cs="Arial"/>
          <w:rtl/>
          <w:lang w:val="pt-BR"/>
        </w:rPr>
        <w:t>:“</w:t>
      </w:r>
      <w:r w:rsidRPr="00621F8C">
        <w:rPr>
          <w:lang w:val="pt-BR"/>
        </w:rPr>
        <w:t>E de quando exigimos o vosso compromisso, ordenando-vos: Não derrameis o vosso sangue, nem</w:t>
      </w:r>
    </w:p>
    <w:p w14:paraId="710B3DB5" w14:textId="77777777" w:rsidR="002719B3" w:rsidRDefault="00621F8C" w:rsidP="002719B3">
      <w:pPr>
        <w:bidi w:val="0"/>
        <w:rPr>
          <w:lang w:val="pt-BR"/>
        </w:rPr>
      </w:pPr>
      <w:r w:rsidRPr="00621F8C">
        <w:rPr>
          <w:lang w:val="pt-BR"/>
        </w:rPr>
        <w:t>vos expulseis reciprocamente de vossas casas; logo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o confrmastes e testemunhastes. No entanto, vede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o que fazeis: estais-vos matando; expulsais das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vossas casas alguns de vós, contra quem demonstrais injustiça e violação; e quando os fazeis prisioneiros, pedis resgate por eles, apesar de saberdes</w:t>
      </w:r>
      <w:r w:rsidR="00F51D24">
        <w:rPr>
          <w:lang w:val="pt-BR"/>
        </w:rPr>
        <w:t xml:space="preserve"> </w:t>
      </w:r>
      <w:r w:rsidR="00F51D24">
        <w:rPr>
          <w:rStyle w:val="FootnoteReference"/>
          <w:lang w:val="pt-BR"/>
        </w:rPr>
        <w:footnoteReference w:id="11"/>
      </w:r>
      <w:r w:rsidRPr="00621F8C">
        <w:rPr>
          <w:lang w:val="pt-BR"/>
        </w:rPr>
        <w:t>que vos era proibido bani-los. Credes, acaso, em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uma parte do Livro e negais a outra?. Devido à sua incredulidade, desobedecendo às ordens de Deus, a sua pretensão à fé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tornou-se inaceitável, sendo-lhes inútil.</w:t>
      </w:r>
    </w:p>
    <w:p w14:paraId="3770EA13" w14:textId="574B4BE1" w:rsidR="00450309" w:rsidRPr="00621F8C" w:rsidRDefault="00621F8C" w:rsidP="002719B3">
      <w:pPr>
        <w:bidi w:val="0"/>
        <w:rPr>
          <w:rFonts w:hint="cs"/>
          <w:rtl/>
          <w:lang w:val="pt-BR"/>
        </w:rPr>
      </w:pPr>
      <w:r w:rsidRPr="00621F8C">
        <w:rPr>
          <w:lang w:val="pt-BR"/>
        </w:rPr>
        <w:t>Deus diz</w:t>
      </w:r>
      <w:r w:rsidRPr="00621F8C">
        <w:rPr>
          <w:rFonts w:cs="Arial"/>
          <w:rtl/>
          <w:lang w:val="pt-BR"/>
        </w:rPr>
        <w:t>: “...</w:t>
      </w:r>
      <w:r w:rsidR="002719B3">
        <w:rPr>
          <w:lang w:val="pt-BR"/>
        </w:rPr>
        <w:t xml:space="preserve"> </w:t>
      </w:r>
      <w:r w:rsidRPr="00621F8C">
        <w:rPr>
          <w:lang w:val="pt-BR"/>
        </w:rPr>
        <w:t>Aqueles, dentre vós, que tal (fato) cometeram, não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receberão, em troca, senão a desonra, na vida terrena e, no Dia da Ressurreição, serão submetidos</w:t>
      </w:r>
      <w:r w:rsidR="00F51D24">
        <w:rPr>
          <w:lang w:val="pt-BR"/>
        </w:rPr>
        <w:t xml:space="preserve"> </w:t>
      </w:r>
      <w:r w:rsidRPr="00621F8C">
        <w:rPr>
          <w:lang w:val="pt-BR"/>
        </w:rPr>
        <w:t>ao mais severo dos castigos. E Deus não está desatento em relação a tudo quanto fazeis”</w:t>
      </w:r>
      <w:r w:rsidR="00F51D24">
        <w:rPr>
          <w:lang w:val="pt-BR"/>
        </w:rPr>
        <w:t>.</w:t>
      </w:r>
      <w:r w:rsidR="00F51D24">
        <w:rPr>
          <w:rStyle w:val="FootnoteReference"/>
          <w:lang w:val="pt-BR"/>
        </w:rPr>
        <w:footnoteReference w:id="12"/>
      </w:r>
    </w:p>
    <w:sectPr w:rsidR="00450309" w:rsidRPr="00621F8C" w:rsidSect="00E042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2B6C" w14:textId="77777777" w:rsidR="00DB4C34" w:rsidRDefault="00DB4C34" w:rsidP="00621F8C">
      <w:pPr>
        <w:spacing w:after="0" w:line="240" w:lineRule="auto"/>
      </w:pPr>
      <w:r>
        <w:separator/>
      </w:r>
    </w:p>
  </w:endnote>
  <w:endnote w:type="continuationSeparator" w:id="0">
    <w:p w14:paraId="61971420" w14:textId="77777777" w:rsidR="00DB4C34" w:rsidRDefault="00DB4C34" w:rsidP="0062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02AC" w14:textId="77777777" w:rsidR="00DB4C34" w:rsidRDefault="00DB4C34" w:rsidP="00621F8C">
      <w:pPr>
        <w:spacing w:after="0" w:line="240" w:lineRule="auto"/>
      </w:pPr>
      <w:r>
        <w:separator/>
      </w:r>
    </w:p>
  </w:footnote>
  <w:footnote w:type="continuationSeparator" w:id="0">
    <w:p w14:paraId="5CCA0FC2" w14:textId="77777777" w:rsidR="00DB4C34" w:rsidRDefault="00DB4C34" w:rsidP="00621F8C">
      <w:pPr>
        <w:spacing w:after="0" w:line="240" w:lineRule="auto"/>
      </w:pPr>
      <w:r>
        <w:continuationSeparator/>
      </w:r>
    </w:p>
  </w:footnote>
  <w:footnote w:id="1">
    <w:p w14:paraId="175C6248" w14:textId="3A607090" w:rsidR="00621F8C" w:rsidRPr="00621F8C" w:rsidRDefault="00621F8C" w:rsidP="00621F8C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621F8C">
        <w:rPr>
          <w:lang w:val="pt-BR"/>
        </w:rPr>
        <w:t xml:space="preserve"> </w:t>
      </w:r>
      <w:r w:rsidRPr="00621F8C">
        <w:rPr>
          <w:lang w:val="pt-BR"/>
        </w:rPr>
        <w:t>Alcorão sagrado, 2:6-7</w:t>
      </w:r>
    </w:p>
  </w:footnote>
  <w:footnote w:id="2">
    <w:p w14:paraId="63E65F97" w14:textId="1949F785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621F8C">
        <w:rPr>
          <w:lang w:val="pt-BR"/>
        </w:rPr>
        <w:t>Alcorão sagrado, 57:20</w:t>
      </w:r>
    </w:p>
  </w:footnote>
  <w:footnote w:id="3">
    <w:p w14:paraId="7DDDBE09" w14:textId="23B49503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F51D24">
        <w:rPr>
          <w:lang w:val="pt-BR"/>
        </w:rPr>
        <w:t xml:space="preserve"> </w:t>
      </w:r>
      <w:r w:rsidRPr="00621F8C">
        <w:rPr>
          <w:lang w:val="pt-BR"/>
        </w:rPr>
        <w:t>Alcorão sagrado, 45:24</w:t>
      </w:r>
    </w:p>
  </w:footnote>
  <w:footnote w:id="4">
    <w:p w14:paraId="6D55CA18" w14:textId="0E4CA7DD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F51D24">
        <w:rPr>
          <w:lang w:val="pt-BR"/>
        </w:rPr>
        <w:t xml:space="preserve"> </w:t>
      </w:r>
      <w:r w:rsidRPr="00621F8C">
        <w:rPr>
          <w:lang w:val="pt-BR"/>
        </w:rPr>
        <w:t>Alcorão Sagrado, 45:24</w:t>
      </w:r>
    </w:p>
  </w:footnote>
  <w:footnote w:id="5">
    <w:p w14:paraId="53E755BA" w14:textId="1E6FDEDA" w:rsidR="002719B3" w:rsidRPr="002719B3" w:rsidRDefault="002719B3" w:rsidP="002719B3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2719B3">
        <w:rPr>
          <w:lang w:val="pt-BR"/>
        </w:rPr>
        <w:t xml:space="preserve"> </w:t>
      </w:r>
      <w:r w:rsidRPr="00621F8C">
        <w:rPr>
          <w:lang w:val="pt-BR"/>
        </w:rPr>
        <w:t>Alcorão sagrado, 2:6</w:t>
      </w:r>
      <w:r>
        <w:rPr>
          <w:lang w:val="pt-BR"/>
        </w:rPr>
        <w:t>.</w:t>
      </w:r>
    </w:p>
  </w:footnote>
  <w:footnote w:id="6">
    <w:p w14:paraId="61C1D220" w14:textId="0FAE6B2B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F51D24">
        <w:rPr>
          <w:lang w:val="pt-BR"/>
        </w:rPr>
        <w:t xml:space="preserve"> </w:t>
      </w:r>
      <w:r w:rsidRPr="00621F8C">
        <w:rPr>
          <w:lang w:val="pt-BR"/>
        </w:rPr>
        <w:t>Alcorão sagrado</w:t>
      </w:r>
      <w:r>
        <w:rPr>
          <w:lang w:val="pt-BR"/>
        </w:rPr>
        <w:t>.27:14.</w:t>
      </w:r>
    </w:p>
  </w:footnote>
  <w:footnote w:id="7">
    <w:p w14:paraId="0EFB6FAC" w14:textId="7C6B2077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F51D24">
        <w:rPr>
          <w:lang w:val="pt-BR"/>
        </w:rPr>
        <w:t xml:space="preserve"> </w:t>
      </w:r>
      <w:r w:rsidRPr="00621F8C">
        <w:rPr>
          <w:lang w:val="pt-BR"/>
        </w:rPr>
        <w:t>Alcorão</w:t>
      </w:r>
      <w:r>
        <w:rPr>
          <w:lang w:val="pt-BR"/>
        </w:rPr>
        <w:t xml:space="preserve"> </w:t>
      </w:r>
      <w:r w:rsidRPr="00621F8C">
        <w:rPr>
          <w:lang w:val="pt-BR"/>
        </w:rPr>
        <w:t>sagrado, 2:89</w:t>
      </w:r>
    </w:p>
  </w:footnote>
  <w:footnote w:id="8">
    <w:p w14:paraId="377A44D6" w14:textId="3B2099CE" w:rsidR="002719B3" w:rsidRPr="002719B3" w:rsidRDefault="002719B3" w:rsidP="002719B3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2719B3">
        <w:rPr>
          <w:lang w:val="pt-BR"/>
        </w:rPr>
        <w:t xml:space="preserve"> </w:t>
      </w:r>
      <w:r w:rsidRPr="00621F8C">
        <w:rPr>
          <w:lang w:val="pt-BR"/>
        </w:rPr>
        <w:t>Alcorão sagrado, 27:40</w:t>
      </w:r>
    </w:p>
  </w:footnote>
  <w:footnote w:id="9">
    <w:p w14:paraId="4EB2DA5C" w14:textId="03DE2649" w:rsidR="002719B3" w:rsidRPr="002719B3" w:rsidRDefault="002719B3" w:rsidP="002719B3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2719B3">
        <w:rPr>
          <w:lang w:val="pt-BR"/>
        </w:rPr>
        <w:t xml:space="preserve"> </w:t>
      </w:r>
      <w:r w:rsidRPr="00621F8C">
        <w:rPr>
          <w:lang w:val="pt-BR"/>
        </w:rPr>
        <w:t>Alcorão sagrado</w:t>
      </w:r>
      <w:r>
        <w:rPr>
          <w:lang w:val="pt-BR"/>
        </w:rPr>
        <w:t>.14:7.</w:t>
      </w:r>
    </w:p>
  </w:footnote>
  <w:footnote w:id="10">
    <w:p w14:paraId="44025D2C" w14:textId="043E1098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F51D24">
        <w:rPr>
          <w:lang w:val="pt-BR"/>
        </w:rPr>
        <w:t xml:space="preserve"> </w:t>
      </w:r>
      <w:r w:rsidRPr="00621F8C">
        <w:rPr>
          <w:lang w:val="pt-BR"/>
        </w:rPr>
        <w:t>Alcorão sagrado, 2:152</w:t>
      </w:r>
    </w:p>
  </w:footnote>
  <w:footnote w:id="11">
    <w:p w14:paraId="188F1F14" w14:textId="12D91C96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F51D24">
        <w:rPr>
          <w:lang w:val="pt-BR"/>
        </w:rPr>
        <w:t xml:space="preserve"> </w:t>
      </w:r>
      <w:r w:rsidRPr="00621F8C">
        <w:rPr>
          <w:lang w:val="pt-BR"/>
        </w:rPr>
        <w:t>Alcorão</w:t>
      </w:r>
      <w:r>
        <w:rPr>
          <w:lang w:val="pt-BR"/>
        </w:rPr>
        <w:t xml:space="preserve"> </w:t>
      </w:r>
      <w:r w:rsidRPr="00621F8C">
        <w:rPr>
          <w:lang w:val="pt-BR"/>
        </w:rPr>
        <w:t>sagrado, 2:84-85</w:t>
      </w:r>
    </w:p>
  </w:footnote>
  <w:footnote w:id="12">
    <w:p w14:paraId="50F82D1B" w14:textId="0FEC3B78" w:rsidR="00F51D24" w:rsidRPr="00F51D24" w:rsidRDefault="00F51D24" w:rsidP="00F51D24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F51D24">
        <w:rPr>
          <w:lang w:val="pt-BR"/>
        </w:rPr>
        <w:t xml:space="preserve"> </w:t>
      </w:r>
      <w:r w:rsidRPr="00621F8C">
        <w:rPr>
          <w:lang w:val="pt-BR"/>
        </w:rPr>
        <w:t>Alcorão</w:t>
      </w:r>
      <w:r>
        <w:rPr>
          <w:lang w:val="pt-BR"/>
        </w:rPr>
        <w:t xml:space="preserve"> </w:t>
      </w:r>
      <w:r w:rsidRPr="00621F8C">
        <w:rPr>
          <w:lang w:val="pt-BR"/>
        </w:rPr>
        <w:t>sagrado, 2:85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09"/>
    <w:rsid w:val="000C62BE"/>
    <w:rsid w:val="002719B3"/>
    <w:rsid w:val="00450309"/>
    <w:rsid w:val="00621F8C"/>
    <w:rsid w:val="00735793"/>
    <w:rsid w:val="009054EC"/>
    <w:rsid w:val="00BC7BAD"/>
    <w:rsid w:val="00BD4B14"/>
    <w:rsid w:val="00C179A6"/>
    <w:rsid w:val="00DB4C34"/>
    <w:rsid w:val="00E04292"/>
    <w:rsid w:val="00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1D41401"/>
  <w15:chartTrackingRefBased/>
  <w15:docId w15:val="{9A787D22-7F9D-40CD-8509-B4D519A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03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F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F8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054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4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id.org/pt/news/1908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NAZEAT</dc:creator>
  <cp:keywords/>
  <dc:description/>
  <cp:lastModifiedBy>NAZEAT</cp:lastModifiedBy>
  <cp:revision>1</cp:revision>
  <dcterms:created xsi:type="dcterms:W3CDTF">2021-11-24T09:37:00Z</dcterms:created>
  <dcterms:modified xsi:type="dcterms:W3CDTF">2021-11-24T10:36:00Z</dcterms:modified>
</cp:coreProperties>
</file>